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79DA" w14:textId="77777777" w:rsidR="007827C6" w:rsidRDefault="007827C6" w:rsidP="007827C6">
      <w:pPr>
        <w:widowControl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 xml:space="preserve">4 </w:t>
      </w:r>
    </w:p>
    <w:p w14:paraId="660063C7" w14:textId="77777777" w:rsidR="007827C6" w:rsidRDefault="007827C6" w:rsidP="007827C6">
      <w:pPr>
        <w:widowControl/>
        <w:jc w:val="center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>晋级决赛作品名单</w:t>
      </w:r>
    </w:p>
    <w:p w14:paraId="3800C35A" w14:textId="77777777" w:rsidR="007827C6" w:rsidRDefault="007827C6" w:rsidP="007827C6">
      <w:pPr>
        <w:spacing w:line="360" w:lineRule="auto"/>
        <w:ind w:firstLineChars="196" w:firstLine="470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2"/>
        <w:gridCol w:w="7870"/>
      </w:tblGrid>
      <w:tr w:rsidR="007827C6" w14:paraId="04D7B275" w14:textId="77777777" w:rsidTr="00C016AA">
        <w:tc>
          <w:tcPr>
            <w:tcW w:w="709" w:type="dxa"/>
          </w:tcPr>
          <w:p w14:paraId="1053296B" w14:textId="77777777" w:rsidR="007827C6" w:rsidRDefault="007827C6" w:rsidP="00C016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046" w:type="dxa"/>
          </w:tcPr>
          <w:p w14:paraId="6168998D" w14:textId="77777777" w:rsidR="007827C6" w:rsidRDefault="007827C6" w:rsidP="00C016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作品标题</w:t>
            </w:r>
          </w:p>
        </w:tc>
      </w:tr>
      <w:tr w:rsidR="007827C6" w14:paraId="3DF358FC" w14:textId="77777777" w:rsidTr="00C016AA">
        <w:tc>
          <w:tcPr>
            <w:tcW w:w="709" w:type="dxa"/>
          </w:tcPr>
          <w:p w14:paraId="61E5EC1F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046" w:type="dxa"/>
          </w:tcPr>
          <w:p w14:paraId="4CA05540" w14:textId="77777777" w:rsidR="007827C6" w:rsidRDefault="007827C6" w:rsidP="00C016AA">
            <w:pPr>
              <w:spacing w:beforeLines="25" w:before="78" w:afterLines="25" w:after="78"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基于循证证据的抗凝药物审核规则优化与应用</w:t>
            </w:r>
          </w:p>
        </w:tc>
      </w:tr>
      <w:tr w:rsidR="007827C6" w14:paraId="1071A0B5" w14:textId="77777777" w:rsidTr="00C016AA">
        <w:tc>
          <w:tcPr>
            <w:tcW w:w="709" w:type="dxa"/>
          </w:tcPr>
          <w:p w14:paraId="3BA98221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046" w:type="dxa"/>
          </w:tcPr>
          <w:p w14:paraId="70F209DF" w14:textId="77777777" w:rsidR="007827C6" w:rsidRDefault="007827C6" w:rsidP="00C016AA">
            <w:pPr>
              <w:spacing w:beforeLines="25" w:before="78" w:afterLines="25" w:after="78"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多学科临床药师药学服务协作模式的构建与应用——基于肝移植的</w:t>
            </w:r>
            <w:r>
              <w:rPr>
                <w:rFonts w:hint="eastAsia"/>
                <w:sz w:val="24"/>
                <w:szCs w:val="24"/>
              </w:rPr>
              <w:t>ICU</w:t>
            </w:r>
            <w:r>
              <w:rPr>
                <w:rFonts w:hint="eastAsia"/>
                <w:sz w:val="24"/>
                <w:szCs w:val="24"/>
              </w:rPr>
              <w:t>与外科临床药师的协作药学实践</w:t>
            </w:r>
          </w:p>
        </w:tc>
      </w:tr>
      <w:tr w:rsidR="007827C6" w14:paraId="20B0CADB" w14:textId="77777777" w:rsidTr="00C016AA">
        <w:tc>
          <w:tcPr>
            <w:tcW w:w="709" w:type="dxa"/>
          </w:tcPr>
          <w:p w14:paraId="722EFA6C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046" w:type="dxa"/>
          </w:tcPr>
          <w:p w14:paraId="0F49E3B2" w14:textId="77777777" w:rsidR="007827C6" w:rsidRDefault="007827C6" w:rsidP="00C016AA">
            <w:pPr>
              <w:spacing w:beforeLines="25" w:before="78" w:afterLines="25" w:after="78"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“从白袍到白衣：调剂药师的临床奇遇”</w:t>
            </w:r>
          </w:p>
        </w:tc>
      </w:tr>
      <w:tr w:rsidR="007827C6" w14:paraId="077E2E0E" w14:textId="77777777" w:rsidTr="00C016AA">
        <w:tc>
          <w:tcPr>
            <w:tcW w:w="709" w:type="dxa"/>
          </w:tcPr>
          <w:p w14:paraId="3962E6F6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046" w:type="dxa"/>
          </w:tcPr>
          <w:p w14:paraId="22433613" w14:textId="77777777" w:rsidR="007827C6" w:rsidRDefault="007827C6" w:rsidP="00C016AA">
            <w:pPr>
              <w:spacing w:beforeLines="25" w:before="78" w:afterLines="25" w:after="78"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以患者为中心，多重用药管理模式下的医院高质量药学新服务</w:t>
            </w:r>
          </w:p>
        </w:tc>
      </w:tr>
      <w:tr w:rsidR="007827C6" w14:paraId="284E316F" w14:textId="77777777" w:rsidTr="00C016AA">
        <w:tc>
          <w:tcPr>
            <w:tcW w:w="709" w:type="dxa"/>
          </w:tcPr>
          <w:p w14:paraId="0EB97694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046" w:type="dxa"/>
          </w:tcPr>
          <w:p w14:paraId="7C06B4AC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</w:t>
            </w:r>
            <w:proofErr w:type="gramStart"/>
            <w:r>
              <w:rPr>
                <w:rFonts w:hint="eastAsia"/>
                <w:sz w:val="24"/>
                <w:szCs w:val="24"/>
              </w:rPr>
              <w:t>采背景</w:t>
            </w:r>
            <w:proofErr w:type="gramEnd"/>
            <w:r>
              <w:rPr>
                <w:rFonts w:hint="eastAsia"/>
                <w:sz w:val="24"/>
                <w:szCs w:val="24"/>
              </w:rPr>
              <w:t>下两种丹参类中药注射剂治疗冠心病心绞痛的药物经济学评价</w:t>
            </w:r>
          </w:p>
        </w:tc>
      </w:tr>
      <w:tr w:rsidR="007827C6" w14:paraId="37382D2E" w14:textId="77777777" w:rsidTr="00C016AA">
        <w:tc>
          <w:tcPr>
            <w:tcW w:w="709" w:type="dxa"/>
          </w:tcPr>
          <w:p w14:paraId="5ACB280B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046" w:type="dxa"/>
          </w:tcPr>
          <w:p w14:paraId="3ECC1B18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以合理用药为中心的处方点评及不合理处方帕</w:t>
            </w:r>
            <w:proofErr w:type="gramStart"/>
            <w:r>
              <w:rPr>
                <w:rFonts w:hint="eastAsia"/>
                <w:sz w:val="24"/>
                <w:szCs w:val="24"/>
              </w:rPr>
              <w:t>累托图分析</w:t>
            </w:r>
            <w:proofErr w:type="gramEnd"/>
          </w:p>
        </w:tc>
      </w:tr>
      <w:tr w:rsidR="007827C6" w14:paraId="1946043F" w14:textId="77777777" w:rsidTr="00C016AA">
        <w:tc>
          <w:tcPr>
            <w:tcW w:w="709" w:type="dxa"/>
          </w:tcPr>
          <w:p w14:paraId="0129FFCD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046" w:type="dxa"/>
          </w:tcPr>
          <w:p w14:paraId="434716E4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</w:t>
            </w:r>
            <w:r>
              <w:rPr>
                <w:rFonts w:hint="eastAsia"/>
                <w:sz w:val="24"/>
                <w:szCs w:val="24"/>
              </w:rPr>
              <w:t>DISCERN</w:t>
            </w:r>
            <w:r>
              <w:rPr>
                <w:rFonts w:hint="eastAsia"/>
                <w:sz w:val="24"/>
                <w:szCs w:val="24"/>
              </w:rPr>
              <w:t>量表的健康科普关注点及科普作品质量评价研究：以国家级医院管理类科普比赛为例</w:t>
            </w:r>
          </w:p>
        </w:tc>
      </w:tr>
      <w:tr w:rsidR="007827C6" w14:paraId="6AE9BE78" w14:textId="77777777" w:rsidTr="00C016AA">
        <w:tc>
          <w:tcPr>
            <w:tcW w:w="709" w:type="dxa"/>
          </w:tcPr>
          <w:p w14:paraId="2E1D948B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046" w:type="dxa"/>
          </w:tcPr>
          <w:p w14:paraId="3FD8600E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</w:t>
            </w:r>
            <w:r>
              <w:rPr>
                <w:rFonts w:hint="eastAsia"/>
                <w:sz w:val="24"/>
                <w:szCs w:val="24"/>
              </w:rPr>
              <w:t>TDM</w:t>
            </w:r>
            <w:r>
              <w:rPr>
                <w:rFonts w:hint="eastAsia"/>
                <w:sz w:val="24"/>
                <w:szCs w:val="24"/>
              </w:rPr>
              <w:t>平台的常见农药中毒快速诊断服务流程的建立及优化</w:t>
            </w:r>
          </w:p>
        </w:tc>
      </w:tr>
      <w:tr w:rsidR="007827C6" w14:paraId="0A7FDAC0" w14:textId="77777777" w:rsidTr="00C016AA">
        <w:tc>
          <w:tcPr>
            <w:tcW w:w="709" w:type="dxa"/>
          </w:tcPr>
          <w:p w14:paraId="243CE314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8046" w:type="dxa"/>
          </w:tcPr>
          <w:p w14:paraId="4EE035E1" w14:textId="77777777" w:rsidR="007827C6" w:rsidRDefault="007827C6" w:rsidP="00C016AA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例肺癌应用免疫抑制剂引起肝损伤的药学监护</w:t>
            </w:r>
          </w:p>
        </w:tc>
      </w:tr>
    </w:tbl>
    <w:p w14:paraId="65F79B57" w14:textId="77777777" w:rsidR="007827C6" w:rsidRDefault="007827C6" w:rsidP="007827C6">
      <w:pPr>
        <w:pStyle w:val="a7"/>
        <w:spacing w:line="360" w:lineRule="auto"/>
        <w:ind w:leftChars="200" w:left="420" w:firstLineChars="50" w:firstLine="120"/>
        <w:rPr>
          <w:sz w:val="24"/>
          <w:szCs w:val="24"/>
        </w:rPr>
      </w:pPr>
    </w:p>
    <w:p w14:paraId="670F3D28" w14:textId="77777777" w:rsidR="007827C6" w:rsidRDefault="007827C6" w:rsidP="007827C6">
      <w:pPr>
        <w:pStyle w:val="a7"/>
        <w:spacing w:line="360" w:lineRule="auto"/>
        <w:ind w:leftChars="200" w:left="420" w:firstLineChars="50" w:firstLine="120"/>
        <w:rPr>
          <w:sz w:val="24"/>
          <w:szCs w:val="24"/>
        </w:rPr>
      </w:pPr>
    </w:p>
    <w:p w14:paraId="4EAA1E97" w14:textId="77777777" w:rsidR="007827C6" w:rsidRDefault="007827C6" w:rsidP="007827C6">
      <w:pPr>
        <w:spacing w:line="360" w:lineRule="auto"/>
        <w:rPr>
          <w:sz w:val="24"/>
          <w:szCs w:val="24"/>
        </w:rPr>
      </w:pPr>
    </w:p>
    <w:p w14:paraId="735CAE21" w14:textId="77777777" w:rsidR="0064267E" w:rsidRPr="007827C6" w:rsidRDefault="0064267E" w:rsidP="007827C6"/>
    <w:sectPr w:rsidR="0064267E" w:rsidRPr="007827C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64A36" w14:textId="77777777" w:rsidR="001B631F" w:rsidRDefault="001B631F" w:rsidP="007827C6">
      <w:r>
        <w:separator/>
      </w:r>
    </w:p>
  </w:endnote>
  <w:endnote w:type="continuationSeparator" w:id="0">
    <w:p w14:paraId="7FF72FBB" w14:textId="77777777" w:rsidR="001B631F" w:rsidRDefault="001B631F" w:rsidP="0078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F4D2" w14:textId="77777777" w:rsidR="001B631F" w:rsidRDefault="001B631F" w:rsidP="007827C6">
      <w:r>
        <w:separator/>
      </w:r>
    </w:p>
  </w:footnote>
  <w:footnote w:type="continuationSeparator" w:id="0">
    <w:p w14:paraId="2D017DF8" w14:textId="77777777" w:rsidR="001B631F" w:rsidRDefault="001B631F" w:rsidP="00782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CD"/>
    <w:rsid w:val="001B631F"/>
    <w:rsid w:val="002B0E75"/>
    <w:rsid w:val="00454B20"/>
    <w:rsid w:val="0064267E"/>
    <w:rsid w:val="007827C6"/>
    <w:rsid w:val="00906ACD"/>
    <w:rsid w:val="00C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7408BA-F6C2-4895-A917-25BA7EC0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27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2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27C6"/>
    <w:rPr>
      <w:sz w:val="18"/>
      <w:szCs w:val="18"/>
    </w:rPr>
  </w:style>
  <w:style w:type="paragraph" w:styleId="a7">
    <w:name w:val="List Paragraph"/>
    <w:basedOn w:val="a"/>
    <w:uiPriority w:val="34"/>
    <w:qFormat/>
    <w:rsid w:val="007827C6"/>
    <w:pPr>
      <w:ind w:firstLineChars="200" w:firstLine="420"/>
    </w:pPr>
  </w:style>
  <w:style w:type="table" w:styleId="a8">
    <w:name w:val="Table Grid"/>
    <w:basedOn w:val="a1"/>
    <w:uiPriority w:val="59"/>
    <w:qFormat/>
    <w:rsid w:val="007827C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Yu</dc:creator>
  <cp:keywords/>
  <dc:description/>
  <cp:lastModifiedBy>Yang Yu</cp:lastModifiedBy>
  <cp:revision>2</cp:revision>
  <dcterms:created xsi:type="dcterms:W3CDTF">2024-07-09T02:24:00Z</dcterms:created>
  <dcterms:modified xsi:type="dcterms:W3CDTF">2024-07-09T02:25:00Z</dcterms:modified>
</cp:coreProperties>
</file>